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FE2" w:rsidRDefault="0062379A" w:rsidP="0062379A">
      <w:pPr>
        <w:jc w:val="right"/>
        <w:rPr>
          <w:rFonts w:cstheme="minorHAnsi"/>
          <w:sz w:val="24"/>
          <w:szCs w:val="24"/>
        </w:rPr>
      </w:pPr>
      <w:proofErr w:type="spellStart"/>
      <w:r w:rsidRPr="0062379A">
        <w:rPr>
          <w:rFonts w:cstheme="minorHAnsi"/>
          <w:sz w:val="24"/>
          <w:szCs w:val="24"/>
        </w:rPr>
        <w:t>Tixkokob</w:t>
      </w:r>
      <w:proofErr w:type="spellEnd"/>
      <w:r w:rsidRPr="0062379A">
        <w:rPr>
          <w:rFonts w:cstheme="minorHAnsi"/>
          <w:sz w:val="24"/>
          <w:szCs w:val="24"/>
        </w:rPr>
        <w:t>, Yucatán, a 23 de julio del 2019.</w:t>
      </w:r>
    </w:p>
    <w:p w:rsidR="0062379A" w:rsidRPr="0062379A" w:rsidRDefault="0062379A" w:rsidP="0062379A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</w:t>
      </w:r>
      <w:r w:rsidRPr="0062379A">
        <w:rPr>
          <w:rFonts w:cstheme="minorHAnsi"/>
          <w:b/>
          <w:sz w:val="24"/>
          <w:szCs w:val="24"/>
        </w:rPr>
        <w:t>ASUNTO:</w:t>
      </w:r>
      <w:r>
        <w:rPr>
          <w:rFonts w:cstheme="minorHAnsi"/>
          <w:sz w:val="24"/>
          <w:szCs w:val="24"/>
        </w:rPr>
        <w:t xml:space="preserve"> </w:t>
      </w:r>
      <w:r w:rsidRPr="0062379A">
        <w:rPr>
          <w:rFonts w:cstheme="minorHAnsi"/>
          <w:sz w:val="24"/>
          <w:szCs w:val="24"/>
        </w:rPr>
        <w:t>Se remite acuerdo de cabildo que</w:t>
      </w:r>
    </w:p>
    <w:p w:rsidR="0062379A" w:rsidRPr="0062379A" w:rsidRDefault="0062379A" w:rsidP="0062379A">
      <w:pPr>
        <w:spacing w:line="240" w:lineRule="auto"/>
        <w:jc w:val="right"/>
        <w:rPr>
          <w:rFonts w:cstheme="minorHAnsi"/>
          <w:sz w:val="24"/>
          <w:szCs w:val="24"/>
        </w:rPr>
      </w:pPr>
      <w:r w:rsidRPr="0062379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</w:t>
      </w:r>
      <w:proofErr w:type="gramStart"/>
      <w:r w:rsidRPr="0062379A">
        <w:rPr>
          <w:rFonts w:cstheme="minorHAnsi"/>
          <w:sz w:val="24"/>
          <w:szCs w:val="24"/>
        </w:rPr>
        <w:t>aprueba</w:t>
      </w:r>
      <w:proofErr w:type="gramEnd"/>
      <w:r w:rsidRPr="0062379A">
        <w:rPr>
          <w:rFonts w:cstheme="minorHAnsi"/>
          <w:sz w:val="24"/>
          <w:szCs w:val="24"/>
        </w:rPr>
        <w:t xml:space="preserve"> empréstito y la iniciativa de reforma</w:t>
      </w:r>
    </w:p>
    <w:p w:rsidR="0062379A" w:rsidRPr="0062379A" w:rsidRDefault="0062379A" w:rsidP="0062379A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</w:t>
      </w:r>
      <w:proofErr w:type="gramStart"/>
      <w:r w:rsidRPr="0062379A">
        <w:rPr>
          <w:rFonts w:cstheme="minorHAnsi"/>
          <w:sz w:val="24"/>
          <w:szCs w:val="24"/>
        </w:rPr>
        <w:t>de</w:t>
      </w:r>
      <w:proofErr w:type="gramEnd"/>
      <w:r w:rsidRPr="0062379A">
        <w:rPr>
          <w:rFonts w:cstheme="minorHAnsi"/>
          <w:sz w:val="24"/>
          <w:szCs w:val="24"/>
        </w:rPr>
        <w:t xml:space="preserve"> la Ley de Ingresos 2019.</w:t>
      </w:r>
    </w:p>
    <w:p w:rsidR="0062379A" w:rsidRPr="000B6964" w:rsidRDefault="000B6964" w:rsidP="000B6964">
      <w:pPr>
        <w:spacing w:line="240" w:lineRule="auto"/>
        <w:rPr>
          <w:rFonts w:cstheme="minorHAnsi"/>
          <w:b/>
          <w:sz w:val="24"/>
          <w:szCs w:val="24"/>
        </w:rPr>
      </w:pPr>
      <w:r w:rsidRPr="000B6964">
        <w:rPr>
          <w:rFonts w:cstheme="minorHAnsi"/>
          <w:b/>
          <w:sz w:val="24"/>
          <w:szCs w:val="24"/>
        </w:rPr>
        <w:t>H.CONGRESO DEL ESTADO DE YUCATÁN.</w:t>
      </w:r>
    </w:p>
    <w:p w:rsidR="000B6964" w:rsidRDefault="000B6964" w:rsidP="000B6964">
      <w:pPr>
        <w:spacing w:line="240" w:lineRule="auto"/>
        <w:rPr>
          <w:rFonts w:cstheme="minorHAnsi"/>
          <w:b/>
          <w:sz w:val="24"/>
          <w:szCs w:val="24"/>
        </w:rPr>
      </w:pPr>
      <w:r w:rsidRPr="000B6964">
        <w:rPr>
          <w:rFonts w:cstheme="minorHAnsi"/>
          <w:b/>
          <w:sz w:val="24"/>
          <w:szCs w:val="24"/>
        </w:rPr>
        <w:t>PRESENTE.</w:t>
      </w:r>
    </w:p>
    <w:p w:rsidR="00EF274C" w:rsidRDefault="00EF274C" w:rsidP="00F819E6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0B6964" w:rsidRDefault="00EF274C" w:rsidP="00F819E6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="000B6964" w:rsidRPr="000B6964">
        <w:rPr>
          <w:rFonts w:cstheme="minorHAnsi"/>
          <w:sz w:val="24"/>
          <w:szCs w:val="24"/>
        </w:rPr>
        <w:t xml:space="preserve">Por medio de la presente enviamos a esta </w:t>
      </w:r>
      <w:r w:rsidR="000B6964">
        <w:rPr>
          <w:rFonts w:cstheme="minorHAnsi"/>
          <w:sz w:val="24"/>
          <w:szCs w:val="24"/>
        </w:rPr>
        <w:t xml:space="preserve">Soberanía, copia certificada del acta de sesión Extraordinaria de cabildo de fecha veintidós de julio de 2019, en donde este H. Ayuntamiento del </w:t>
      </w:r>
      <w:r w:rsidR="005D633D">
        <w:rPr>
          <w:rFonts w:cstheme="minorHAnsi"/>
          <w:sz w:val="24"/>
          <w:szCs w:val="24"/>
        </w:rPr>
        <w:t>Municipio</w:t>
      </w:r>
      <w:r w:rsidR="000B6964">
        <w:rPr>
          <w:rFonts w:cstheme="minorHAnsi"/>
          <w:sz w:val="24"/>
          <w:szCs w:val="24"/>
        </w:rPr>
        <w:t xml:space="preserve"> de </w:t>
      </w:r>
      <w:proofErr w:type="spellStart"/>
      <w:r w:rsidR="000B6964">
        <w:rPr>
          <w:rFonts w:cstheme="minorHAnsi"/>
          <w:sz w:val="24"/>
          <w:szCs w:val="24"/>
        </w:rPr>
        <w:t>Tixkokob</w:t>
      </w:r>
      <w:proofErr w:type="spellEnd"/>
      <w:r w:rsidR="000B6964">
        <w:rPr>
          <w:rFonts w:cstheme="minorHAnsi"/>
          <w:sz w:val="24"/>
          <w:szCs w:val="24"/>
        </w:rPr>
        <w:t xml:space="preserve">, Yucatán, en los incisos </w:t>
      </w:r>
      <w:proofErr w:type="spellStart"/>
      <w:r w:rsidR="000B6964">
        <w:rPr>
          <w:rFonts w:cstheme="minorHAnsi"/>
          <w:sz w:val="24"/>
          <w:szCs w:val="24"/>
        </w:rPr>
        <w:t>a,b,c</w:t>
      </w:r>
      <w:proofErr w:type="spellEnd"/>
      <w:r w:rsidR="000B6964">
        <w:rPr>
          <w:rFonts w:cstheme="minorHAnsi"/>
          <w:sz w:val="24"/>
          <w:szCs w:val="24"/>
        </w:rPr>
        <w:t>, y d) del cuarto p</w:t>
      </w:r>
      <w:r>
        <w:rPr>
          <w:rFonts w:cstheme="minorHAnsi"/>
          <w:sz w:val="24"/>
          <w:szCs w:val="24"/>
        </w:rPr>
        <w:t>u</w:t>
      </w:r>
      <w:r w:rsidR="000B6964">
        <w:rPr>
          <w:rFonts w:cstheme="minorHAnsi"/>
          <w:sz w:val="24"/>
          <w:szCs w:val="24"/>
        </w:rPr>
        <w:t xml:space="preserve">nto del orden del día, aprobó por unanimidad </w:t>
      </w:r>
      <w:r>
        <w:rPr>
          <w:rFonts w:cstheme="minorHAnsi"/>
          <w:sz w:val="24"/>
          <w:szCs w:val="24"/>
        </w:rPr>
        <w:t xml:space="preserve">aprueba la contratación de un financiamiento a largo plazo, así como la iniciativa de reforma del artículo 12 de la Ley de Ingresos del Municipio de </w:t>
      </w:r>
      <w:proofErr w:type="spellStart"/>
      <w:r>
        <w:rPr>
          <w:rFonts w:cstheme="minorHAnsi"/>
          <w:sz w:val="24"/>
          <w:szCs w:val="24"/>
        </w:rPr>
        <w:t>Tixkokob</w:t>
      </w:r>
      <w:proofErr w:type="spellEnd"/>
      <w:r>
        <w:rPr>
          <w:rFonts w:cstheme="minorHAnsi"/>
          <w:sz w:val="24"/>
          <w:szCs w:val="24"/>
        </w:rPr>
        <w:t>, Yucatán, para el ejercicio fiscal 2019, y se ordenó girar</w:t>
      </w:r>
      <w:r w:rsidR="005D633D">
        <w:rPr>
          <w:rFonts w:cstheme="minorHAnsi"/>
          <w:sz w:val="24"/>
          <w:szCs w:val="24"/>
        </w:rPr>
        <w:t xml:space="preserve"> atento oficio al Congreso del E</w:t>
      </w:r>
      <w:r>
        <w:rPr>
          <w:rFonts w:cstheme="minorHAnsi"/>
          <w:sz w:val="24"/>
          <w:szCs w:val="24"/>
        </w:rPr>
        <w:t xml:space="preserve">stado de Yucatán, para que en su oportunidad se turne a la Comisión Permanente de Presupuesto, Patrimonio Estatal y Municipal para su estudio, análisis y dictamen correspondiente; lo anterior, a fin de poder solventar los requerimientos de pago en una sola exhibición, hecho en los autos del Juicio </w:t>
      </w:r>
      <w:proofErr w:type="spellStart"/>
      <w:r>
        <w:rPr>
          <w:rFonts w:cstheme="minorHAnsi"/>
          <w:sz w:val="24"/>
          <w:szCs w:val="24"/>
        </w:rPr>
        <w:t>Reclamato</w:t>
      </w:r>
      <w:bookmarkStart w:id="0" w:name="_GoBack"/>
      <w:bookmarkEnd w:id="0"/>
      <w:r>
        <w:rPr>
          <w:rFonts w:cstheme="minorHAnsi"/>
          <w:sz w:val="24"/>
          <w:szCs w:val="24"/>
        </w:rPr>
        <w:t>rio</w:t>
      </w:r>
      <w:proofErr w:type="spellEnd"/>
      <w:r>
        <w:rPr>
          <w:rFonts w:cstheme="minorHAnsi"/>
          <w:sz w:val="24"/>
          <w:szCs w:val="24"/>
        </w:rPr>
        <w:t xml:space="preserve"> Laboral con número de expediente 11/2007, que cursa ante el Tribunal de los Trabajadores del Servicio del Estado y de los municipios Perteneciente al Poder Judicial del Estado de Yucatán y en los Juicios de Amparos números </w:t>
      </w:r>
      <w:r w:rsidRPr="00EF274C">
        <w:rPr>
          <w:rFonts w:cstheme="minorHAnsi"/>
          <w:b/>
          <w:sz w:val="24"/>
          <w:szCs w:val="24"/>
        </w:rPr>
        <w:t>679/2012-V-A-,623/2015-IV-A y 633/2015-I-B</w:t>
      </w:r>
      <w:r>
        <w:rPr>
          <w:rFonts w:cstheme="minorHAnsi"/>
          <w:sz w:val="24"/>
          <w:szCs w:val="24"/>
        </w:rPr>
        <w:t xml:space="preserve">, promovidos por </w:t>
      </w:r>
      <w:r w:rsidRPr="00EF274C">
        <w:rPr>
          <w:rFonts w:cstheme="minorHAnsi"/>
          <w:b/>
          <w:sz w:val="24"/>
          <w:szCs w:val="24"/>
        </w:rPr>
        <w:t xml:space="preserve">JUANA DE ARCO BALDERAS PUC, MILKA VIRGINIA TEPAL </w:t>
      </w:r>
      <w:proofErr w:type="spellStart"/>
      <w:r w:rsidRPr="00EF274C">
        <w:rPr>
          <w:rFonts w:cstheme="minorHAnsi"/>
          <w:b/>
          <w:sz w:val="24"/>
          <w:szCs w:val="24"/>
        </w:rPr>
        <w:t>TEPAL</w:t>
      </w:r>
      <w:proofErr w:type="spellEnd"/>
      <w:r w:rsidRPr="00EF274C">
        <w:rPr>
          <w:rFonts w:cstheme="minorHAnsi"/>
          <w:b/>
          <w:sz w:val="24"/>
          <w:szCs w:val="24"/>
        </w:rPr>
        <w:t xml:space="preserve"> Y MIGUEL OBDULIO COBA PUCH</w:t>
      </w:r>
      <w:r>
        <w:rPr>
          <w:rFonts w:cstheme="minorHAnsi"/>
          <w:sz w:val="24"/>
          <w:szCs w:val="24"/>
        </w:rPr>
        <w:t xml:space="preserve"> respectivamente, que cursan ante el Juzgado Segundo de Distrito en el Estado de Yucatán. </w:t>
      </w:r>
    </w:p>
    <w:p w:rsidR="00F819E6" w:rsidRDefault="00F819E6" w:rsidP="00F819E6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EF274C" w:rsidRPr="00F819E6" w:rsidRDefault="00F819E6" w:rsidP="00F819E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819E6">
        <w:rPr>
          <w:rFonts w:ascii="Arial" w:hAnsi="Arial" w:cs="Arial"/>
        </w:rPr>
        <w:t xml:space="preserve">Siendo, los </w:t>
      </w:r>
      <w:r w:rsidR="00EF274C" w:rsidRPr="00F819E6">
        <w:rPr>
          <w:rFonts w:ascii="Arial" w:hAnsi="Arial" w:cs="Arial"/>
        </w:rPr>
        <w:t xml:space="preserve">acuerdo en lo que interesa los siguientes, </w:t>
      </w:r>
      <w:r w:rsidR="00EF274C" w:rsidRPr="004E2AA0">
        <w:rPr>
          <w:rFonts w:ascii="Arial" w:hAnsi="Arial" w:cs="Arial"/>
          <w:b/>
        </w:rPr>
        <w:t>Décimo Tercera.-</w:t>
      </w:r>
      <w:r w:rsidR="00EF274C" w:rsidRPr="00F819E6">
        <w:rPr>
          <w:rFonts w:ascii="Arial" w:hAnsi="Arial" w:cs="Arial"/>
        </w:rPr>
        <w:t xml:space="preserve"> En vista del requerimiento que antecede, el cabildo del Ayuntamiento de </w:t>
      </w:r>
      <w:proofErr w:type="spellStart"/>
      <w:r w:rsidR="00EF274C" w:rsidRPr="00F819E6">
        <w:rPr>
          <w:rFonts w:ascii="Arial" w:hAnsi="Arial" w:cs="Arial"/>
        </w:rPr>
        <w:t>Tixkokob</w:t>
      </w:r>
      <w:proofErr w:type="spellEnd"/>
      <w:r w:rsidR="00EF274C" w:rsidRPr="00F819E6">
        <w:rPr>
          <w:rFonts w:ascii="Arial" w:hAnsi="Arial" w:cs="Arial"/>
        </w:rPr>
        <w:t xml:space="preserve"> </w:t>
      </w:r>
      <w:r w:rsidRPr="00F819E6">
        <w:rPr>
          <w:rFonts w:ascii="Arial" w:hAnsi="Arial" w:cs="Arial"/>
        </w:rPr>
        <w:t xml:space="preserve">Yucatán, autoriza la contratación de un financiamiento a largo plazo ante cualquier entidad financiera o de gobierno, de conformidad con lo establecido en el artículo 170 y 171 de la Ley de Gobierno de los Municipios del Estado de Yucatán. </w:t>
      </w:r>
      <w:r w:rsidRPr="004E2AA0">
        <w:rPr>
          <w:rFonts w:ascii="Arial" w:hAnsi="Arial" w:cs="Arial"/>
          <w:b/>
        </w:rPr>
        <w:t>Décima Cuarta.-</w:t>
      </w:r>
      <w:r w:rsidRPr="00F819E6">
        <w:rPr>
          <w:rFonts w:ascii="Arial" w:hAnsi="Arial" w:cs="Arial"/>
        </w:rPr>
        <w:t xml:space="preserve">El cabildo del Ayuntamiento de </w:t>
      </w:r>
      <w:proofErr w:type="spellStart"/>
      <w:r w:rsidRPr="00F819E6">
        <w:rPr>
          <w:rFonts w:ascii="Arial" w:hAnsi="Arial" w:cs="Arial"/>
        </w:rPr>
        <w:t>Tixkokob</w:t>
      </w:r>
      <w:proofErr w:type="spellEnd"/>
      <w:r w:rsidRPr="00F819E6">
        <w:rPr>
          <w:rFonts w:ascii="Arial" w:hAnsi="Arial" w:cs="Arial"/>
        </w:rPr>
        <w:t xml:space="preserve">, aprueba la iniciativa de reforma artículo 12 de la Ley de Ingresos del Municipio de </w:t>
      </w:r>
      <w:proofErr w:type="spellStart"/>
      <w:r w:rsidRPr="00F819E6">
        <w:rPr>
          <w:rFonts w:ascii="Arial" w:hAnsi="Arial" w:cs="Arial"/>
        </w:rPr>
        <w:t>Tixkokob</w:t>
      </w:r>
      <w:proofErr w:type="spellEnd"/>
      <w:r w:rsidRPr="00F819E6">
        <w:rPr>
          <w:rFonts w:ascii="Arial" w:hAnsi="Arial" w:cs="Arial"/>
        </w:rPr>
        <w:t>, Yucatán, para el ejercicio fiscal 2019, para quedar como sigue:</w:t>
      </w:r>
    </w:p>
    <w:p w:rsidR="00F819E6" w:rsidRDefault="00F819E6" w:rsidP="000B6964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Artículo 12.-…</w:t>
      </w:r>
    </w:p>
    <w:p w:rsidR="00F819E6" w:rsidRDefault="00F819E6" w:rsidP="000B6964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….</w:t>
      </w:r>
    </w:p>
    <w:p w:rsidR="00F819E6" w:rsidRDefault="00F819E6" w:rsidP="000B6964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….</w:t>
      </w:r>
    </w:p>
    <w:p w:rsidR="00F819E6" w:rsidRDefault="00F819E6" w:rsidP="000B6964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1603"/>
      </w:tblGrid>
      <w:tr w:rsidR="00F819E6" w:rsidTr="00F819E6">
        <w:tc>
          <w:tcPr>
            <w:tcW w:w="7225" w:type="dxa"/>
          </w:tcPr>
          <w:p w:rsidR="00F819E6" w:rsidRPr="00452BBB" w:rsidRDefault="00F819E6" w:rsidP="000B6964">
            <w:pPr>
              <w:jc w:val="both"/>
              <w:rPr>
                <w:rFonts w:cstheme="minorHAnsi"/>
                <w:b/>
              </w:rPr>
            </w:pPr>
            <w:r w:rsidRPr="00452BBB">
              <w:rPr>
                <w:rFonts w:cstheme="minorHAnsi"/>
                <w:b/>
              </w:rPr>
              <w:t>Ingresos derivados de financiamientos</w:t>
            </w:r>
          </w:p>
        </w:tc>
        <w:tc>
          <w:tcPr>
            <w:tcW w:w="1603" w:type="dxa"/>
          </w:tcPr>
          <w:p w:rsidR="00F819E6" w:rsidRPr="00F819E6" w:rsidRDefault="00F819E6" w:rsidP="00F819E6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F819E6">
              <w:rPr>
                <w:rFonts w:cstheme="minorHAnsi"/>
                <w:b/>
                <w:sz w:val="20"/>
                <w:szCs w:val="20"/>
              </w:rPr>
              <w:t>$2,569,217.97</w:t>
            </w:r>
          </w:p>
        </w:tc>
      </w:tr>
      <w:tr w:rsidR="00F819E6" w:rsidTr="00F819E6">
        <w:tc>
          <w:tcPr>
            <w:tcW w:w="7225" w:type="dxa"/>
          </w:tcPr>
          <w:p w:rsidR="00F819E6" w:rsidRPr="00452BBB" w:rsidRDefault="00452BBB" w:rsidP="00452B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</w:t>
            </w:r>
            <w:r w:rsidR="00F819E6" w:rsidRPr="00452BBB">
              <w:rPr>
                <w:rFonts w:cstheme="minorHAnsi"/>
                <w:b/>
              </w:rPr>
              <w:t>Endeudamiento interno</w:t>
            </w:r>
          </w:p>
        </w:tc>
        <w:tc>
          <w:tcPr>
            <w:tcW w:w="1603" w:type="dxa"/>
          </w:tcPr>
          <w:p w:rsidR="00F819E6" w:rsidRPr="00F819E6" w:rsidRDefault="00F819E6" w:rsidP="00F819E6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F819E6">
              <w:rPr>
                <w:rFonts w:cstheme="minorHAnsi"/>
                <w:b/>
                <w:sz w:val="20"/>
                <w:szCs w:val="20"/>
              </w:rPr>
              <w:t>$2,569,217.97</w:t>
            </w:r>
          </w:p>
        </w:tc>
      </w:tr>
      <w:tr w:rsidR="00F819E6" w:rsidTr="00F819E6">
        <w:tc>
          <w:tcPr>
            <w:tcW w:w="7225" w:type="dxa"/>
          </w:tcPr>
          <w:p w:rsidR="00F819E6" w:rsidRPr="00452BBB" w:rsidRDefault="00452BBB" w:rsidP="00452BBB">
            <w:pPr>
              <w:rPr>
                <w:b/>
              </w:rPr>
            </w:pPr>
            <w:r w:rsidRPr="00452BBB">
              <w:rPr>
                <w:b/>
              </w:rPr>
              <w:t>&gt;Empréstitos</w:t>
            </w:r>
            <w:r w:rsidRPr="00452BBB">
              <w:rPr>
                <w:b/>
              </w:rPr>
              <w:t xml:space="preserve"> o anticipos del Gobierno del Estado</w:t>
            </w:r>
          </w:p>
        </w:tc>
        <w:tc>
          <w:tcPr>
            <w:tcW w:w="1603" w:type="dxa"/>
          </w:tcPr>
          <w:p w:rsidR="00F819E6" w:rsidRPr="00F819E6" w:rsidRDefault="00F819E6" w:rsidP="00F819E6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F819E6">
              <w:rPr>
                <w:rFonts w:cstheme="minorHAnsi"/>
                <w:b/>
                <w:sz w:val="20"/>
                <w:szCs w:val="20"/>
              </w:rPr>
              <w:t>$2,569,217.97</w:t>
            </w:r>
          </w:p>
        </w:tc>
      </w:tr>
      <w:tr w:rsidR="00F819E6" w:rsidTr="00F819E6">
        <w:tc>
          <w:tcPr>
            <w:tcW w:w="7225" w:type="dxa"/>
          </w:tcPr>
          <w:p w:rsidR="00F819E6" w:rsidRPr="00452BBB" w:rsidRDefault="00452BBB" w:rsidP="00F819E6">
            <w:pPr>
              <w:rPr>
                <w:b/>
              </w:rPr>
            </w:pPr>
            <w:r w:rsidRPr="00452BBB">
              <w:rPr>
                <w:b/>
              </w:rPr>
              <w:t>&gt;Empréstitos o financiamiento de Banca de Desarrollo</w:t>
            </w:r>
          </w:p>
        </w:tc>
        <w:tc>
          <w:tcPr>
            <w:tcW w:w="1603" w:type="dxa"/>
          </w:tcPr>
          <w:p w:rsidR="00F819E6" w:rsidRPr="00F819E6" w:rsidRDefault="00F819E6" w:rsidP="00F819E6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F819E6">
              <w:rPr>
                <w:rFonts w:cstheme="minorHAnsi"/>
                <w:b/>
                <w:sz w:val="20"/>
                <w:szCs w:val="20"/>
              </w:rPr>
              <w:t>$0.00</w:t>
            </w:r>
          </w:p>
        </w:tc>
      </w:tr>
      <w:tr w:rsidR="00F819E6" w:rsidTr="00F819E6">
        <w:tc>
          <w:tcPr>
            <w:tcW w:w="7225" w:type="dxa"/>
          </w:tcPr>
          <w:p w:rsidR="00F819E6" w:rsidRPr="00452BBB" w:rsidRDefault="00452BBB" w:rsidP="000B6964">
            <w:pPr>
              <w:jc w:val="both"/>
              <w:rPr>
                <w:rFonts w:cstheme="minorHAnsi"/>
                <w:b/>
              </w:rPr>
            </w:pPr>
            <w:r w:rsidRPr="00452BBB">
              <w:rPr>
                <w:b/>
              </w:rPr>
              <w:t>&gt;Empréstitos</w:t>
            </w:r>
            <w:r w:rsidRPr="00452BBB">
              <w:rPr>
                <w:b/>
              </w:rPr>
              <w:t xml:space="preserve"> o financiamientos de Banca Comercial</w:t>
            </w:r>
          </w:p>
        </w:tc>
        <w:tc>
          <w:tcPr>
            <w:tcW w:w="1603" w:type="dxa"/>
          </w:tcPr>
          <w:p w:rsidR="00F819E6" w:rsidRPr="00F819E6" w:rsidRDefault="00F819E6" w:rsidP="00F819E6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F819E6">
              <w:rPr>
                <w:rFonts w:cstheme="minorHAnsi"/>
                <w:b/>
                <w:sz w:val="20"/>
                <w:szCs w:val="20"/>
              </w:rPr>
              <w:t>$0.00</w:t>
            </w:r>
          </w:p>
        </w:tc>
      </w:tr>
    </w:tbl>
    <w:p w:rsidR="00F819E6" w:rsidRDefault="00F819E6" w:rsidP="000B6964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452BBB" w:rsidRDefault="00452BBB" w:rsidP="000B6964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Asimismo, nos permitimos remitir copia certificada de la sesión de cabildo de fecha veintidós de julio de dos mil diecinueve, para los fines que correspondan. </w:t>
      </w:r>
    </w:p>
    <w:p w:rsidR="00452BBB" w:rsidRDefault="00452BBB" w:rsidP="000B6964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Sin más por el momento, quedamos de ustedes.</w:t>
      </w:r>
    </w:p>
    <w:p w:rsidR="00452BBB" w:rsidRDefault="00452BBB" w:rsidP="000B6964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452BBB" w:rsidRDefault="00452BBB" w:rsidP="00452BBB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ATENTAMENTE</w:t>
      </w:r>
    </w:p>
    <w:p w:rsidR="00452BBB" w:rsidRDefault="00452BBB" w:rsidP="00452BBB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H. AYUNTAMIENTO DEL MUNICIPIO DE TIXKOKOB</w:t>
      </w:r>
    </w:p>
    <w:p w:rsidR="00452BBB" w:rsidRDefault="00452BBB" w:rsidP="00452BBB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452BBB" w:rsidRDefault="00452BBB" w:rsidP="00452BBB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452BBB" w:rsidRDefault="00452BBB" w:rsidP="00452BBB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452BBB" w:rsidRDefault="00452BBB" w:rsidP="00452BBB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C.P. ERIC EDGARDO QUIJANO GONZALEZ                                 C.JOSE FIDEL SABIDO LARA</w:t>
      </w:r>
    </w:p>
    <w:p w:rsidR="00452BBB" w:rsidRPr="000B6964" w:rsidRDefault="00452BBB" w:rsidP="00452BBB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PRESIDENTE MUNICIPAL                                               SECRETARIO MUNICIPAL</w:t>
      </w:r>
    </w:p>
    <w:sectPr w:rsidR="00452BBB" w:rsidRPr="000B696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79A" w:rsidRDefault="0062379A" w:rsidP="0062379A">
      <w:pPr>
        <w:spacing w:after="0" w:line="240" w:lineRule="auto"/>
      </w:pPr>
      <w:r>
        <w:separator/>
      </w:r>
    </w:p>
  </w:endnote>
  <w:endnote w:type="continuationSeparator" w:id="0">
    <w:p w:rsidR="0062379A" w:rsidRDefault="0062379A" w:rsidP="0062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79A" w:rsidRDefault="0062379A" w:rsidP="0062379A">
      <w:pPr>
        <w:spacing w:after="0" w:line="240" w:lineRule="auto"/>
      </w:pPr>
      <w:r>
        <w:separator/>
      </w:r>
    </w:p>
  </w:footnote>
  <w:footnote w:type="continuationSeparator" w:id="0">
    <w:p w:rsidR="0062379A" w:rsidRDefault="0062379A" w:rsidP="00623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79A" w:rsidRDefault="0062379A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C8E6DC" wp14:editId="164D6DA0">
              <wp:simplePos x="0" y="0"/>
              <wp:positionH relativeFrom="column">
                <wp:posOffset>34290</wp:posOffset>
              </wp:positionH>
              <wp:positionV relativeFrom="paragraph">
                <wp:posOffset>-106680</wp:posOffset>
              </wp:positionV>
              <wp:extent cx="5781675" cy="0"/>
              <wp:effectExtent l="0" t="1905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167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B2E324"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pt,-8.4pt" to="457.95pt,-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" strokecolor="#c00000" strokeweight="2.25pt">
              <v:stroke joinstyle="miter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-211455</wp:posOffset>
              </wp:positionV>
              <wp:extent cx="6029325" cy="0"/>
              <wp:effectExtent l="0" t="19050" r="28575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27E883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pt,-16.65pt" to="465.45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" strokecolor="#70ad47 [3209]" strokeweight="2.25pt">
              <v:stroke joinstyle="miter"/>
            </v:line>
          </w:pict>
        </mc:Fallback>
      </mc:AlternateContent>
    </w:r>
    <w:r>
      <w:t xml:space="preserve">     H.AYUNTAMIENTO DE TIXKOKOB, YUCATÁN 2018-2021</w:t>
    </w:r>
  </w:p>
  <w:p w:rsidR="0062379A" w:rsidRDefault="0062379A">
    <w:pPr>
      <w:pStyle w:val="Encabezado"/>
    </w:pPr>
    <w:r>
      <w:t xml:space="preserve">     C.21 #100 No.20  CP.97470  Tel.991 911 0187</w:t>
    </w:r>
  </w:p>
  <w:p w:rsidR="0062379A" w:rsidRDefault="006237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936D6"/>
    <w:multiLevelType w:val="hybridMultilevel"/>
    <w:tmpl w:val="90E426C0"/>
    <w:lvl w:ilvl="0" w:tplc="EDAA55EC">
      <w:start w:val="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E1EF8"/>
    <w:multiLevelType w:val="hybridMultilevel"/>
    <w:tmpl w:val="BED69338"/>
    <w:lvl w:ilvl="0" w:tplc="E4B2395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84031"/>
    <w:multiLevelType w:val="hybridMultilevel"/>
    <w:tmpl w:val="B78268DC"/>
    <w:lvl w:ilvl="0" w:tplc="B3BA9BA6">
      <w:start w:val="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79A"/>
    <w:rsid w:val="000B6964"/>
    <w:rsid w:val="00180FE2"/>
    <w:rsid w:val="00452BBB"/>
    <w:rsid w:val="004E2AA0"/>
    <w:rsid w:val="005D633D"/>
    <w:rsid w:val="0062379A"/>
    <w:rsid w:val="0079331C"/>
    <w:rsid w:val="00EF274C"/>
    <w:rsid w:val="00F8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76B0BE-01FC-4195-9977-BC33BAB9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37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379A"/>
  </w:style>
  <w:style w:type="paragraph" w:styleId="Piedepgina">
    <w:name w:val="footer"/>
    <w:basedOn w:val="Normal"/>
    <w:link w:val="PiedepginaCar"/>
    <w:uiPriority w:val="99"/>
    <w:unhideWhenUsed/>
    <w:rsid w:val="006237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379A"/>
  </w:style>
  <w:style w:type="table" w:styleId="Tablaconcuadrcula">
    <w:name w:val="Table Grid"/>
    <w:basedOn w:val="Tablanormal"/>
    <w:uiPriority w:val="39"/>
    <w:rsid w:val="00F81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81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Arlethe</dc:creator>
  <cp:keywords/>
  <dc:description/>
  <cp:lastModifiedBy>Arlethe</cp:lastModifiedBy>
  <cp:revision>1</cp:revision>
  <dcterms:created xsi:type="dcterms:W3CDTF">2019-09-17T17:59:00Z</dcterms:created>
  <dcterms:modified xsi:type="dcterms:W3CDTF">2019-09-17T19:20:00Z</dcterms:modified>
</cp:coreProperties>
</file>